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A86" w:rsidRDefault="00B87A86" w:rsidP="00B87A86">
      <w:pPr>
        <w:spacing w:after="0" w:line="240" w:lineRule="auto"/>
        <w:jc w:val="center"/>
        <w:rPr>
          <w:rFonts w:ascii="Times New Roman" w:hAnsi="Times New Roman"/>
          <w:b/>
          <w:sz w:val="28"/>
          <w:szCs w:val="28"/>
        </w:rPr>
      </w:pPr>
      <w:r>
        <w:rPr>
          <w:rFonts w:ascii="Times New Roman" w:hAnsi="Times New Roman"/>
          <w:b/>
          <w:sz w:val="28"/>
          <w:szCs w:val="28"/>
        </w:rPr>
        <w:t>Аннотация</w:t>
      </w:r>
      <w:r w:rsidRPr="00FA08F9">
        <w:rPr>
          <w:rFonts w:ascii="Times New Roman" w:hAnsi="Times New Roman"/>
          <w:b/>
          <w:sz w:val="28"/>
          <w:szCs w:val="28"/>
        </w:rPr>
        <w:t xml:space="preserve"> </w:t>
      </w:r>
    </w:p>
    <w:p w:rsidR="00B87A86" w:rsidRDefault="00B87A86" w:rsidP="00B87A86">
      <w:pPr>
        <w:spacing w:after="0" w:line="240" w:lineRule="auto"/>
        <w:jc w:val="center"/>
        <w:rPr>
          <w:rFonts w:ascii="Times New Roman" w:hAnsi="Times New Roman"/>
          <w:b/>
          <w:sz w:val="28"/>
          <w:szCs w:val="28"/>
        </w:rPr>
      </w:pPr>
      <w:r>
        <w:rPr>
          <w:rFonts w:ascii="Times New Roman" w:hAnsi="Times New Roman"/>
          <w:b/>
          <w:sz w:val="28"/>
          <w:szCs w:val="28"/>
        </w:rPr>
        <w:t>к</w:t>
      </w:r>
      <w:r>
        <w:rPr>
          <w:rFonts w:ascii="Times New Roman" w:hAnsi="Times New Roman"/>
          <w:sz w:val="28"/>
          <w:szCs w:val="28"/>
        </w:rPr>
        <w:t xml:space="preserve"> </w:t>
      </w:r>
      <w:r>
        <w:rPr>
          <w:rFonts w:ascii="Times New Roman" w:hAnsi="Times New Roman"/>
          <w:b/>
          <w:sz w:val="28"/>
          <w:szCs w:val="28"/>
        </w:rPr>
        <w:t>рабочей программе учебного курса «</w:t>
      </w:r>
      <w:r>
        <w:rPr>
          <w:rFonts w:ascii="Times New Roman" w:hAnsi="Times New Roman"/>
          <w:b/>
          <w:sz w:val="28"/>
          <w:szCs w:val="28"/>
        </w:rPr>
        <w:t>Геометрия</w:t>
      </w:r>
      <w:r>
        <w:rPr>
          <w:rFonts w:ascii="Times New Roman" w:hAnsi="Times New Roman"/>
          <w:b/>
          <w:sz w:val="28"/>
          <w:szCs w:val="28"/>
        </w:rPr>
        <w:t>» в 8 классах</w:t>
      </w:r>
    </w:p>
    <w:p w:rsidR="00B87A86" w:rsidRDefault="00B87A86" w:rsidP="00B87A86">
      <w:pPr>
        <w:jc w:val="center"/>
        <w:rPr>
          <w:rFonts w:ascii="Times New Roman" w:hAnsi="Times New Roman"/>
          <w:b/>
          <w:i/>
          <w:sz w:val="28"/>
          <w:szCs w:val="28"/>
        </w:rPr>
      </w:pPr>
      <w:r>
        <w:rPr>
          <w:rFonts w:ascii="Times New Roman" w:hAnsi="Times New Roman"/>
          <w:b/>
          <w:i/>
          <w:sz w:val="28"/>
          <w:szCs w:val="28"/>
        </w:rPr>
        <w:t>(2023-2024 учебный год)</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87A86">
        <w:rPr>
          <w:rFonts w:ascii="Times New Roman" w:hAnsi="Times New Roman"/>
          <w:sz w:val="28"/>
          <w:szCs w:val="28"/>
        </w:rPr>
        <w:t>контрпримеры</w:t>
      </w:r>
      <w:proofErr w:type="spellEnd"/>
      <w:r w:rsidRPr="00B87A86">
        <w:rPr>
          <w:rFonts w:ascii="Times New Roman" w:hAnsi="Times New Roman"/>
          <w:sz w:val="28"/>
          <w:szCs w:val="28"/>
        </w:rPr>
        <w:t xml:space="preserve"> к </w:t>
      </w:r>
      <w:proofErr w:type="gramStart"/>
      <w:r w:rsidRPr="00B87A86">
        <w:rPr>
          <w:rFonts w:ascii="Times New Roman" w:hAnsi="Times New Roman"/>
          <w:sz w:val="28"/>
          <w:szCs w:val="28"/>
        </w:rPr>
        <w:t>ложным</w:t>
      </w:r>
      <w:proofErr w:type="gramEnd"/>
      <w:r w:rsidRPr="00B87A86">
        <w:rPr>
          <w:rFonts w:ascii="Times New Roman" w:hAnsi="Times New Roman"/>
          <w:sz w:val="28"/>
          <w:szCs w:val="28"/>
        </w:rPr>
        <w:t>, проводить рассуждения «от противного», отличать свойства от признаков, формулировать обратные утверждения.</w:t>
      </w:r>
      <w:r w:rsidRPr="00B87A86">
        <w:rPr>
          <w:rFonts w:ascii="Times New Roman" w:hAnsi="Times New Roman"/>
          <w:color w:val="FF0000"/>
          <w:sz w:val="28"/>
          <w:szCs w:val="28"/>
        </w:rPr>
        <w:t xml:space="preserve"> </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 xml:space="preserve">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 </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Общее число часов, рекомендованных для изучения учебного курса «Геометрия», в 8 клас</w:t>
      </w:r>
      <w:r>
        <w:rPr>
          <w:rFonts w:ascii="Times New Roman" w:hAnsi="Times New Roman"/>
          <w:sz w:val="28"/>
          <w:szCs w:val="28"/>
        </w:rPr>
        <w:t>се – 68 часов (2 часа в неделю)</w:t>
      </w:r>
      <w:r w:rsidRPr="00B87A86">
        <w:rPr>
          <w:rFonts w:ascii="Times New Roman" w:hAnsi="Times New Roman"/>
          <w:sz w:val="28"/>
          <w:szCs w:val="28"/>
        </w:rPr>
        <w:t>.</w:t>
      </w:r>
    </w:p>
    <w:p w:rsidR="00B87A86" w:rsidRPr="00B87A86" w:rsidRDefault="00B87A86" w:rsidP="00B87A86">
      <w:pPr>
        <w:widowControl w:val="0"/>
        <w:spacing w:after="0" w:line="348" w:lineRule="auto"/>
        <w:ind w:firstLine="709"/>
        <w:jc w:val="both"/>
        <w:rPr>
          <w:rFonts w:ascii="Times New Roman" w:hAnsi="Times New Roman"/>
          <w:b/>
          <w:i/>
          <w:sz w:val="28"/>
          <w:szCs w:val="28"/>
        </w:rPr>
      </w:pPr>
      <w:r w:rsidRPr="00B87A86">
        <w:rPr>
          <w:rFonts w:ascii="Times New Roman" w:hAnsi="Times New Roman"/>
          <w:b/>
          <w:i/>
          <w:sz w:val="28"/>
          <w:szCs w:val="28"/>
        </w:rPr>
        <w:t>Содержание обучения в 8 классе.</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Метод удвоения медианы. Центральная симметрия. Теорема Фалеса и теорема о пропорциональных отрезках.</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Средние линии треугольника и трапеции. Центр масс треугольника.</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Вычисление площадей треугольников и многоугольников на клетчатой бумаге.</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Теорема Пифагора. Применение теоремы Пифагора при решении практических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87A86" w:rsidRPr="00B87A86" w:rsidRDefault="00B87A86" w:rsidP="00B87A86">
      <w:pPr>
        <w:widowControl w:val="0"/>
        <w:spacing w:after="0" w:line="348" w:lineRule="auto"/>
        <w:ind w:firstLine="709"/>
        <w:jc w:val="both"/>
        <w:rPr>
          <w:rFonts w:ascii="Times New Roman" w:hAnsi="Times New Roman"/>
          <w:b/>
          <w:i/>
          <w:sz w:val="28"/>
          <w:szCs w:val="28"/>
        </w:rPr>
      </w:pPr>
      <w:r w:rsidRPr="00B87A86">
        <w:rPr>
          <w:rFonts w:ascii="Times New Roman" w:hAnsi="Times New Roman"/>
          <w:b/>
          <w:i/>
          <w:sz w:val="28"/>
          <w:szCs w:val="28"/>
        </w:rPr>
        <w:t>Предметные результаты освоения программы учебного курса к концу обучения в 8 классе.</w:t>
      </w:r>
      <w:bookmarkStart w:id="0" w:name="_GoBack"/>
      <w:bookmarkEnd w:id="0"/>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Распознавать основные виды четырёхугольников, их элементы, пользоваться их свойствами при решении геометрических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Применять свойства точки пересечения медиан треугольника (центра масс) в решении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Применять признаки подобия треугольников в решении геометрических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 xml:space="preserve">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чертёж и находить соответствующие </w:t>
      </w:r>
      <w:r w:rsidRPr="00B87A86">
        <w:rPr>
          <w:rFonts w:ascii="Times New Roman" w:hAnsi="Times New Roman"/>
          <w:sz w:val="28"/>
          <w:szCs w:val="28"/>
        </w:rPr>
        <w:lastRenderedPageBreak/>
        <w:t>длины.</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Владеть понятием описанного четырёхугольника, применять свойства описанного четырёхугольника при решении задач.</w:t>
      </w:r>
    </w:p>
    <w:p w:rsidR="00B87A86" w:rsidRPr="00B87A86" w:rsidRDefault="00B87A86" w:rsidP="00B87A86">
      <w:pPr>
        <w:widowControl w:val="0"/>
        <w:spacing w:after="0" w:line="348" w:lineRule="auto"/>
        <w:ind w:firstLine="709"/>
        <w:jc w:val="both"/>
        <w:rPr>
          <w:rFonts w:ascii="Times New Roman" w:hAnsi="Times New Roman"/>
          <w:sz w:val="28"/>
          <w:szCs w:val="28"/>
        </w:rPr>
      </w:pPr>
      <w:r w:rsidRPr="00B87A86">
        <w:rPr>
          <w:rFonts w:ascii="Times New Roman" w:hAnsi="Times New Roman"/>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E0F3E" w:rsidRDefault="007E0F3E"/>
    <w:sectPr w:rsidR="007E0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A86"/>
    <w:rsid w:val="007E0F3E"/>
    <w:rsid w:val="00B62341"/>
    <w:rsid w:val="00B87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A8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A8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629</Words>
  <Characters>3586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55</dc:creator>
  <cp:lastModifiedBy>Школа 55</cp:lastModifiedBy>
  <cp:revision>1</cp:revision>
  <dcterms:created xsi:type="dcterms:W3CDTF">2023-08-02T17:51:00Z</dcterms:created>
  <dcterms:modified xsi:type="dcterms:W3CDTF">2023-08-02T18:17:00Z</dcterms:modified>
</cp:coreProperties>
</file>